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50" w:rsidRPr="003B7988" w:rsidRDefault="00104950" w:rsidP="00104950">
      <w:pPr>
        <w:shd w:val="clear" w:color="auto" w:fill="FFFFFF"/>
        <w:spacing w:before="100" w:beforeAutospacing="1" w:after="100" w:afterAutospacing="1" w:line="240" w:lineRule="auto"/>
        <w:rPr>
          <w:rFonts w:ascii="DIN Next LT Pro" w:hAnsi="DIN Next LT Pro"/>
          <w:sz w:val="28"/>
          <w:szCs w:val="28"/>
        </w:rPr>
      </w:pPr>
      <w:bookmarkStart w:id="0" w:name="_GoBack"/>
      <w:bookmarkEnd w:id="0"/>
      <w:r w:rsidRPr="003B7988">
        <w:rPr>
          <w:rFonts w:ascii="DIN Next LT Pro" w:hAnsi="DIN Next LT Pro"/>
          <w:sz w:val="28"/>
          <w:szCs w:val="28"/>
        </w:rPr>
        <w:t>The Law Reform Commission is a “new” public body under the Freedom of Information Act 2014 and in accordance with the definition of “effective date” in section 2(</w:t>
      </w:r>
      <w:r>
        <w:rPr>
          <w:rFonts w:ascii="DIN Next LT Pro" w:hAnsi="DIN Next LT Pro"/>
          <w:sz w:val="28"/>
          <w:szCs w:val="28"/>
        </w:rPr>
        <w:t>c</w:t>
      </w:r>
      <w:r w:rsidRPr="003B7988">
        <w:rPr>
          <w:rFonts w:ascii="DIN Next LT Pro" w:hAnsi="DIN Next LT Pro"/>
          <w:sz w:val="28"/>
          <w:szCs w:val="28"/>
        </w:rPr>
        <w:t xml:space="preserve">) of the 2014 </w:t>
      </w:r>
      <w:proofErr w:type="gramStart"/>
      <w:r w:rsidRPr="003B7988">
        <w:rPr>
          <w:rFonts w:ascii="DIN Next LT Pro" w:hAnsi="DIN Next LT Pro"/>
          <w:sz w:val="28"/>
          <w:szCs w:val="28"/>
        </w:rPr>
        <w:t>Act,</w:t>
      </w:r>
      <w:proofErr w:type="gramEnd"/>
      <w:r w:rsidRPr="003B7988">
        <w:rPr>
          <w:rFonts w:ascii="DIN Next LT Pro" w:hAnsi="DIN Next LT Pro"/>
          <w:sz w:val="28"/>
          <w:szCs w:val="28"/>
        </w:rPr>
        <w:t xml:space="preserve"> the Act applies to records </w:t>
      </w:r>
      <w:r>
        <w:rPr>
          <w:rFonts w:ascii="DIN Next LT Pro" w:hAnsi="DIN Next LT Pro"/>
          <w:sz w:val="28"/>
          <w:szCs w:val="28"/>
        </w:rPr>
        <w:t xml:space="preserve">held by the Commission </w:t>
      </w:r>
      <w:r w:rsidRPr="003B7988">
        <w:rPr>
          <w:rFonts w:ascii="DIN Next LT Pro" w:hAnsi="DIN Next LT Pro"/>
          <w:sz w:val="28"/>
          <w:szCs w:val="28"/>
        </w:rPr>
        <w:t xml:space="preserve">dating </w:t>
      </w:r>
      <w:r>
        <w:rPr>
          <w:rFonts w:ascii="DIN Next LT Pro" w:hAnsi="DIN Next LT Pro"/>
          <w:sz w:val="28"/>
          <w:szCs w:val="28"/>
        </w:rPr>
        <w:t>from</w:t>
      </w:r>
      <w:r w:rsidRPr="003B7988">
        <w:rPr>
          <w:rFonts w:ascii="DIN Next LT Pro" w:hAnsi="DIN Next LT Pro"/>
          <w:sz w:val="28"/>
          <w:szCs w:val="28"/>
        </w:rPr>
        <w:t xml:space="preserve"> 21 April 2008. The </w:t>
      </w:r>
      <w:proofErr w:type="gramStart"/>
      <w:r w:rsidRPr="003B7988">
        <w:rPr>
          <w:rFonts w:ascii="DIN Next LT Pro" w:hAnsi="DIN Next LT Pro"/>
          <w:sz w:val="28"/>
          <w:szCs w:val="28"/>
        </w:rPr>
        <w:t>range</w:t>
      </w:r>
      <w:proofErr w:type="gramEnd"/>
      <w:r w:rsidRPr="003B7988">
        <w:rPr>
          <w:rFonts w:ascii="DIN Next LT Pro" w:hAnsi="DIN Next LT Pro"/>
          <w:sz w:val="28"/>
          <w:szCs w:val="28"/>
        </w:rPr>
        <w:t xml:space="preserve"> of records held by the</w:t>
      </w:r>
      <w:r>
        <w:rPr>
          <w:rFonts w:ascii="DIN Next LT Pro" w:hAnsi="DIN Next LT Pro"/>
          <w:sz w:val="28"/>
          <w:szCs w:val="28"/>
        </w:rPr>
        <w:t xml:space="preserve"> Commission that may be released are: </w:t>
      </w:r>
      <w:r w:rsidRPr="003B7988">
        <w:rPr>
          <w:rFonts w:ascii="DIN Next LT Pro" w:hAnsi="DIN Next LT Pro"/>
          <w:sz w:val="28"/>
          <w:szCs w:val="28"/>
        </w:rPr>
        <w:t xml:space="preserve"> </w:t>
      </w:r>
    </w:p>
    <w:p w:rsidR="00104950" w:rsidRPr="003B7988" w:rsidRDefault="00104950" w:rsidP="001049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Next LT Pro" w:eastAsia="Times New Roman" w:hAnsi="DIN Next LT Pro" w:cs="Arial"/>
          <w:sz w:val="28"/>
          <w:szCs w:val="28"/>
          <w:lang w:val="en" w:eastAsia="en-IE"/>
        </w:rPr>
      </w:pPr>
      <w:r w:rsidRPr="003B7988">
        <w:rPr>
          <w:rFonts w:ascii="DIN Next LT Pro" w:eastAsia="Times New Roman" w:hAnsi="DIN Next LT Pro" w:cs="Arial"/>
          <w:sz w:val="28"/>
          <w:szCs w:val="28"/>
          <w:lang w:val="en" w:eastAsia="en-IE"/>
        </w:rPr>
        <w:t xml:space="preserve">General Administration </w:t>
      </w:r>
    </w:p>
    <w:p w:rsidR="00104950" w:rsidRPr="003B7988" w:rsidRDefault="00104950" w:rsidP="001049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Next LT Pro" w:eastAsia="Times New Roman" w:hAnsi="DIN Next LT Pro" w:cs="Arial"/>
          <w:sz w:val="28"/>
          <w:szCs w:val="28"/>
          <w:lang w:val="en" w:eastAsia="en-IE"/>
        </w:rPr>
      </w:pPr>
      <w:r w:rsidRPr="003B7988">
        <w:rPr>
          <w:rFonts w:ascii="DIN Next LT Pro" w:eastAsia="Times New Roman" w:hAnsi="DIN Next LT Pro" w:cs="Arial"/>
          <w:sz w:val="28"/>
          <w:szCs w:val="28"/>
          <w:lang w:val="en" w:eastAsia="en-IE"/>
        </w:rPr>
        <w:t xml:space="preserve">Accounts/Expenditure Records </w:t>
      </w:r>
    </w:p>
    <w:p w:rsidR="00104950" w:rsidRPr="003B7988" w:rsidRDefault="00104950" w:rsidP="001049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Next LT Pro" w:eastAsia="Times New Roman" w:hAnsi="DIN Next LT Pro" w:cs="Arial"/>
          <w:sz w:val="28"/>
          <w:szCs w:val="28"/>
          <w:lang w:val="en" w:eastAsia="en-IE"/>
        </w:rPr>
      </w:pPr>
      <w:r w:rsidRPr="003B7988">
        <w:rPr>
          <w:rFonts w:ascii="DIN Next LT Pro" w:eastAsia="Times New Roman" w:hAnsi="DIN Next LT Pro" w:cs="Arial"/>
          <w:sz w:val="28"/>
          <w:szCs w:val="28"/>
          <w:lang w:val="en" w:eastAsia="en-IE"/>
        </w:rPr>
        <w:t>Asset Register</w:t>
      </w:r>
    </w:p>
    <w:p w:rsidR="00104950" w:rsidRPr="003B7988" w:rsidRDefault="00104950" w:rsidP="001049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Next LT Pro" w:eastAsia="Times New Roman" w:hAnsi="DIN Next LT Pro" w:cs="Arial"/>
          <w:sz w:val="28"/>
          <w:szCs w:val="28"/>
          <w:lang w:val="en" w:eastAsia="en-IE"/>
        </w:rPr>
      </w:pPr>
      <w:r w:rsidRPr="003B7988">
        <w:rPr>
          <w:rFonts w:ascii="DIN Next LT Pro" w:eastAsia="Times New Roman" w:hAnsi="DIN Next LT Pro" w:cs="Arial"/>
          <w:sz w:val="28"/>
          <w:szCs w:val="28"/>
          <w:lang w:val="en" w:eastAsia="en-IE"/>
        </w:rPr>
        <w:t xml:space="preserve">Submissions </w:t>
      </w:r>
      <w:r>
        <w:rPr>
          <w:rFonts w:ascii="DIN Next LT Pro" w:eastAsia="Times New Roman" w:hAnsi="DIN Next LT Pro" w:cs="Arial"/>
          <w:sz w:val="28"/>
          <w:szCs w:val="28"/>
          <w:lang w:val="en" w:eastAsia="en-IE"/>
        </w:rPr>
        <w:t>(with the exception of submissions given in confidence and where their release would create a risk that the Commission’s ability to carry out research in the future would be impaired and/or where release would otherwise be unlawful)</w:t>
      </w:r>
    </w:p>
    <w:p w:rsidR="00104950" w:rsidRPr="003B7988" w:rsidRDefault="00104950" w:rsidP="001049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Next LT Pro" w:eastAsia="Times New Roman" w:hAnsi="DIN Next LT Pro" w:cs="Arial"/>
          <w:sz w:val="28"/>
          <w:szCs w:val="28"/>
          <w:lang w:val="en" w:eastAsia="en-IE"/>
        </w:rPr>
      </w:pPr>
      <w:r w:rsidRPr="003B7988">
        <w:rPr>
          <w:rFonts w:ascii="DIN Next LT Pro" w:eastAsia="Times New Roman" w:hAnsi="DIN Next LT Pro" w:cs="Arial"/>
          <w:sz w:val="28"/>
          <w:szCs w:val="28"/>
          <w:lang w:val="en" w:eastAsia="en-IE"/>
        </w:rPr>
        <w:t xml:space="preserve">Civil/Public Service Guidelines and circulars </w:t>
      </w:r>
    </w:p>
    <w:p w:rsidR="00104950" w:rsidRPr="003B7988" w:rsidRDefault="00104950" w:rsidP="001049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Next LT Pro" w:eastAsia="Times New Roman" w:hAnsi="DIN Next LT Pro" w:cs="Arial"/>
          <w:sz w:val="28"/>
          <w:szCs w:val="28"/>
          <w:lang w:val="en" w:eastAsia="en-IE"/>
        </w:rPr>
      </w:pPr>
      <w:r w:rsidRPr="003B7988">
        <w:rPr>
          <w:rFonts w:ascii="DIN Next LT Pro" w:eastAsia="Times New Roman" w:hAnsi="DIN Next LT Pro" w:cs="Arial"/>
          <w:sz w:val="28"/>
          <w:szCs w:val="28"/>
          <w:lang w:val="en" w:eastAsia="en-IE"/>
        </w:rPr>
        <w:t>Annual Report</w:t>
      </w:r>
      <w:r>
        <w:rPr>
          <w:rFonts w:ascii="DIN Next LT Pro" w:eastAsia="Times New Roman" w:hAnsi="DIN Next LT Pro" w:cs="Arial"/>
          <w:sz w:val="28"/>
          <w:szCs w:val="28"/>
          <w:lang w:val="en" w:eastAsia="en-IE"/>
        </w:rPr>
        <w:t>s</w:t>
      </w:r>
    </w:p>
    <w:p w:rsidR="00104950" w:rsidRPr="003B7988" w:rsidRDefault="00104950" w:rsidP="001049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Next LT Pro" w:eastAsia="Times New Roman" w:hAnsi="DIN Next LT Pro" w:cs="Arial"/>
          <w:sz w:val="28"/>
          <w:szCs w:val="28"/>
          <w:lang w:val="en" w:eastAsia="en-IE"/>
        </w:rPr>
      </w:pPr>
      <w:r w:rsidRPr="003B7988">
        <w:rPr>
          <w:rFonts w:ascii="DIN Next LT Pro" w:eastAsia="Times New Roman" w:hAnsi="DIN Next LT Pro" w:cs="Arial"/>
          <w:sz w:val="28"/>
          <w:szCs w:val="28"/>
          <w:lang w:val="en" w:eastAsia="en-IE"/>
        </w:rPr>
        <w:t>Strategy Statement</w:t>
      </w:r>
      <w:r>
        <w:rPr>
          <w:rFonts w:ascii="DIN Next LT Pro" w:eastAsia="Times New Roman" w:hAnsi="DIN Next LT Pro" w:cs="Arial"/>
          <w:sz w:val="28"/>
          <w:szCs w:val="28"/>
          <w:lang w:val="en" w:eastAsia="en-IE"/>
        </w:rPr>
        <w:t>s</w:t>
      </w:r>
    </w:p>
    <w:p w:rsidR="00104950" w:rsidRDefault="00104950" w:rsidP="001049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442"/>
          <w:sz w:val="23"/>
          <w:szCs w:val="23"/>
          <w:lang w:val="en" w:eastAsia="en-IE"/>
        </w:rPr>
      </w:pPr>
    </w:p>
    <w:p w:rsidR="00F94BDD" w:rsidRDefault="006E19B8"/>
    <w:sectPr w:rsidR="00F94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2A9A"/>
    <w:multiLevelType w:val="hybridMultilevel"/>
    <w:tmpl w:val="463E4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0"/>
    <w:rsid w:val="000975BF"/>
    <w:rsid w:val="00104950"/>
    <w:rsid w:val="005D5F70"/>
    <w:rsid w:val="006E19B8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rbyrne</dc:creator>
  <cp:lastModifiedBy>dfleming</cp:lastModifiedBy>
  <cp:revision>2</cp:revision>
  <dcterms:created xsi:type="dcterms:W3CDTF">2016-05-11T13:35:00Z</dcterms:created>
  <dcterms:modified xsi:type="dcterms:W3CDTF">2016-05-11T13:35:00Z</dcterms:modified>
</cp:coreProperties>
</file>