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29" w:rsidRPr="00CE4775" w:rsidRDefault="00767229" w:rsidP="00767229">
      <w:pPr>
        <w:rPr>
          <w:rFonts w:ascii="DIN Next LT Pro" w:hAnsi="DIN Next LT Pro" w:cs="Arial"/>
          <w:b/>
          <w:sz w:val="24"/>
          <w:szCs w:val="24"/>
        </w:rPr>
      </w:pPr>
      <w:r w:rsidRPr="00CE4775">
        <w:rPr>
          <w:rFonts w:ascii="DIN Next LT Pro" w:hAnsi="DIN Next LT Pro" w:cs="Arial"/>
          <w:b/>
          <w:sz w:val="24"/>
          <w:szCs w:val="24"/>
        </w:rPr>
        <w:t xml:space="preserve">Functions of the Commission </w:t>
      </w:r>
    </w:p>
    <w:p w:rsidR="00767229" w:rsidRPr="00CE4775" w:rsidRDefault="00767229" w:rsidP="00767229">
      <w:pPr>
        <w:rPr>
          <w:rFonts w:ascii="DIN Next LT Pro" w:hAnsi="DIN Next LT Pro" w:cs="Arial"/>
          <w:sz w:val="21"/>
          <w:szCs w:val="21"/>
        </w:rPr>
      </w:pPr>
    </w:p>
    <w:p w:rsidR="00767229" w:rsidRPr="00CE4775" w:rsidRDefault="00767229" w:rsidP="00767229">
      <w:pPr>
        <w:rPr>
          <w:rFonts w:ascii="DIN Next LT Pro" w:hAnsi="DIN Next LT Pro" w:cs="Arial"/>
          <w:sz w:val="21"/>
          <w:szCs w:val="21"/>
        </w:rPr>
      </w:pPr>
      <w:r w:rsidRPr="00CE4775">
        <w:rPr>
          <w:rFonts w:ascii="DIN Next LT Pro" w:hAnsi="DIN Next LT Pro" w:cs="Arial"/>
          <w:sz w:val="21"/>
          <w:szCs w:val="21"/>
        </w:rPr>
        <w:t>The Co</w:t>
      </w:r>
      <w:bookmarkStart w:id="0" w:name="_GoBack"/>
      <w:bookmarkEnd w:id="0"/>
      <w:r w:rsidRPr="00CE4775">
        <w:rPr>
          <w:rFonts w:ascii="DIN Next LT Pro" w:hAnsi="DIN Next LT Pro" w:cs="Arial"/>
          <w:sz w:val="21"/>
          <w:szCs w:val="21"/>
        </w:rPr>
        <w:t xml:space="preserve">mmission is a statutory body established by the </w:t>
      </w:r>
      <w:r w:rsidRPr="00CE4775">
        <w:rPr>
          <w:rFonts w:ascii="DIN Next LT Pro" w:hAnsi="DIN Next LT Pro" w:cs="Arial"/>
          <w:i/>
          <w:sz w:val="21"/>
          <w:szCs w:val="21"/>
        </w:rPr>
        <w:t>Law Reform Commission Act 1975</w:t>
      </w:r>
      <w:r w:rsidRPr="00CE4775">
        <w:rPr>
          <w:rFonts w:ascii="DIN Next LT Pro" w:hAnsi="DIN Next LT Pro" w:cs="Arial"/>
          <w:sz w:val="21"/>
          <w:szCs w:val="21"/>
        </w:rPr>
        <w:t xml:space="preserve"> which requires the Commission</w:t>
      </w:r>
      <w:r w:rsidRPr="00CE4775">
        <w:rPr>
          <w:rFonts w:ascii="DIN Next LT Pro" w:hAnsi="DIN Next LT Pro" w:cs="Arial"/>
          <w:sz w:val="21"/>
          <w:szCs w:val="21"/>
          <w:lang w:val="en-US"/>
        </w:rPr>
        <w:t xml:space="preserve"> to keep the law under review and to conduct research with a view to reforming the law. </w:t>
      </w:r>
      <w:r w:rsidRPr="00CE4775">
        <w:rPr>
          <w:rFonts w:ascii="DIN Next LT Pro" w:hAnsi="DIN Next LT Pro" w:cs="Arial"/>
          <w:sz w:val="21"/>
          <w:szCs w:val="21"/>
        </w:rPr>
        <w:t>Law reform is defined to include:</w:t>
      </w:r>
    </w:p>
    <w:p w:rsidR="00767229" w:rsidRPr="00CE4775" w:rsidRDefault="00767229" w:rsidP="00767229">
      <w:pPr>
        <w:pStyle w:val="ListParagraph"/>
        <w:numPr>
          <w:ilvl w:val="0"/>
          <w:numId w:val="1"/>
        </w:numPr>
        <w:rPr>
          <w:rFonts w:ascii="DIN Next LT Pro" w:hAnsi="DIN Next LT Pro" w:cs="Arial"/>
          <w:sz w:val="21"/>
          <w:szCs w:val="21"/>
          <w:lang w:val="en-US"/>
        </w:rPr>
      </w:pPr>
      <w:r w:rsidRPr="00CE4775">
        <w:rPr>
          <w:rFonts w:ascii="DIN Next LT Pro" w:hAnsi="DIN Next LT Pro" w:cs="Arial"/>
          <w:sz w:val="21"/>
          <w:szCs w:val="21"/>
        </w:rPr>
        <w:t>the</w:t>
      </w:r>
      <w:r w:rsidRPr="00CE4775">
        <w:rPr>
          <w:rFonts w:ascii="DIN Next LT Pro" w:hAnsi="DIN Next LT Pro" w:cs="Arial"/>
          <w:sz w:val="21"/>
          <w:szCs w:val="21"/>
          <w:lang w:val="en-US"/>
        </w:rPr>
        <w:t xml:space="preserve"> development of law</w:t>
      </w:r>
    </w:p>
    <w:p w:rsidR="00767229" w:rsidRPr="00CE4775" w:rsidRDefault="00767229" w:rsidP="00767229">
      <w:pPr>
        <w:pStyle w:val="ListParagraph"/>
        <w:numPr>
          <w:ilvl w:val="0"/>
          <w:numId w:val="1"/>
        </w:numPr>
        <w:rPr>
          <w:rFonts w:ascii="DIN Next LT Pro" w:hAnsi="DIN Next LT Pro" w:cs="Arial"/>
          <w:sz w:val="21"/>
          <w:szCs w:val="21"/>
          <w:lang w:val="en-US"/>
        </w:rPr>
      </w:pPr>
      <w:r w:rsidRPr="00CE4775">
        <w:rPr>
          <w:rFonts w:ascii="DIN Next LT Pro" w:hAnsi="DIN Next LT Pro" w:cs="Arial"/>
          <w:sz w:val="21"/>
          <w:szCs w:val="21"/>
          <w:lang w:val="en-US"/>
        </w:rPr>
        <w:t xml:space="preserve">its codification (including its simplification and </w:t>
      </w:r>
      <w:r w:rsidRPr="00CE4775">
        <w:rPr>
          <w:rFonts w:ascii="DIN Next LT Pro" w:hAnsi="DIN Next LT Pro" w:cs="Arial"/>
          <w:sz w:val="21"/>
          <w:szCs w:val="21"/>
        </w:rPr>
        <w:t>modernisation</w:t>
      </w:r>
      <w:r w:rsidRPr="00CE4775">
        <w:rPr>
          <w:rFonts w:ascii="DIN Next LT Pro" w:hAnsi="DIN Next LT Pro" w:cs="Arial"/>
          <w:sz w:val="21"/>
          <w:szCs w:val="21"/>
          <w:lang w:val="en-US"/>
        </w:rPr>
        <w:t>)</w:t>
      </w:r>
    </w:p>
    <w:p w:rsidR="00767229" w:rsidRPr="00CE4775" w:rsidRDefault="00767229" w:rsidP="00767229">
      <w:pPr>
        <w:pStyle w:val="ListParagraph"/>
        <w:numPr>
          <w:ilvl w:val="0"/>
          <w:numId w:val="1"/>
        </w:numPr>
        <w:rPr>
          <w:rFonts w:ascii="DIN Next LT Pro" w:hAnsi="DIN Next LT Pro" w:cs="Arial"/>
          <w:sz w:val="21"/>
          <w:szCs w:val="21"/>
        </w:rPr>
      </w:pPr>
      <w:r w:rsidRPr="00CE4775">
        <w:rPr>
          <w:rFonts w:ascii="DIN Next LT Pro" w:hAnsi="DIN Next LT Pro" w:cs="Arial"/>
          <w:sz w:val="21"/>
          <w:szCs w:val="21"/>
          <w:lang w:val="en-US"/>
        </w:rPr>
        <w:t>the revision and consolidation of statute law</w:t>
      </w:r>
    </w:p>
    <w:p w:rsidR="00767229" w:rsidRPr="00CE4775" w:rsidRDefault="00767229" w:rsidP="00767229">
      <w:pPr>
        <w:rPr>
          <w:rFonts w:ascii="DIN Next LT Pro" w:hAnsi="DIN Next LT Pro" w:cs="Arial"/>
          <w:sz w:val="21"/>
          <w:szCs w:val="21"/>
        </w:rPr>
      </w:pPr>
    </w:p>
    <w:p w:rsidR="00767229" w:rsidRPr="00CE4775" w:rsidRDefault="00767229" w:rsidP="00767229">
      <w:pPr>
        <w:rPr>
          <w:rFonts w:ascii="DIN Next LT Pro" w:hAnsi="DIN Next LT Pro" w:cs="Arial"/>
          <w:sz w:val="21"/>
          <w:szCs w:val="21"/>
          <w:lang w:val="en-GB"/>
        </w:rPr>
      </w:pPr>
      <w:r w:rsidRPr="00CE4775">
        <w:rPr>
          <w:rFonts w:ascii="DIN Next LT Pro" w:hAnsi="DIN Next LT Pro" w:cs="Arial"/>
          <w:sz w:val="21"/>
          <w:szCs w:val="21"/>
          <w:lang w:val="en-GB"/>
        </w:rPr>
        <w:t xml:space="preserve">Since it was established, the Commission has published over 200 documents (Issues Papers, Consultation Papers, Working Papers and Reports) containing proposals for law reform. </w:t>
      </w:r>
    </w:p>
    <w:p w:rsidR="00767229" w:rsidRPr="00CE4775" w:rsidRDefault="00767229" w:rsidP="00767229">
      <w:pPr>
        <w:rPr>
          <w:rFonts w:ascii="DIN Next LT Pro" w:hAnsi="DIN Next LT Pro" w:cs="Arial"/>
          <w:b/>
          <w:sz w:val="21"/>
          <w:szCs w:val="21"/>
        </w:rPr>
      </w:pPr>
    </w:p>
    <w:p w:rsidR="00767229" w:rsidRPr="00CE4775" w:rsidRDefault="00767229" w:rsidP="00767229">
      <w:pPr>
        <w:rPr>
          <w:rFonts w:ascii="DIN Next LT Pro" w:hAnsi="DIN Next LT Pro" w:cs="Arial"/>
          <w:b/>
        </w:rPr>
      </w:pPr>
      <w:r w:rsidRPr="00CE4775">
        <w:rPr>
          <w:rFonts w:ascii="DIN Next LT Pro" w:hAnsi="DIN Next LT Pro" w:cs="Arial"/>
          <w:b/>
        </w:rPr>
        <w:t xml:space="preserve">Programmes of Law Reform and Requests from the Attorney General </w:t>
      </w:r>
    </w:p>
    <w:p w:rsidR="00767229" w:rsidRPr="00CE4775" w:rsidRDefault="00767229" w:rsidP="00767229">
      <w:pPr>
        <w:rPr>
          <w:rFonts w:ascii="DIN Next LT Pro" w:hAnsi="DIN Next LT Pro" w:cs="Arial"/>
          <w:sz w:val="21"/>
          <w:szCs w:val="21"/>
        </w:rPr>
      </w:pPr>
      <w:r w:rsidRPr="00CE4775">
        <w:rPr>
          <w:rFonts w:ascii="DIN Next LT Pro" w:hAnsi="DIN Next LT Pro" w:cs="Arial"/>
          <w:sz w:val="21"/>
          <w:szCs w:val="21"/>
        </w:rPr>
        <w:t xml:space="preserve">The Commission’s research work comes from two main sources: </w:t>
      </w:r>
    </w:p>
    <w:p w:rsidR="00767229" w:rsidRPr="00CE4775" w:rsidRDefault="00767229" w:rsidP="00767229">
      <w:pPr>
        <w:pStyle w:val="ListParagraph"/>
        <w:numPr>
          <w:ilvl w:val="0"/>
          <w:numId w:val="2"/>
        </w:numPr>
        <w:rPr>
          <w:rFonts w:ascii="DIN Next LT Pro" w:hAnsi="DIN Next LT Pro" w:cs="Arial"/>
          <w:sz w:val="21"/>
          <w:szCs w:val="21"/>
        </w:rPr>
      </w:pPr>
      <w:r w:rsidRPr="00CE4775">
        <w:rPr>
          <w:rFonts w:ascii="DIN Next LT Pro" w:hAnsi="DIN Next LT Pro" w:cs="Arial"/>
          <w:sz w:val="21"/>
          <w:szCs w:val="21"/>
        </w:rPr>
        <w:t xml:space="preserve">Programmes of Law Reform prepared by the Commission and agreed by Government and laid before the Houses of the </w:t>
      </w:r>
      <w:proofErr w:type="spellStart"/>
      <w:r w:rsidRPr="00CE4775">
        <w:rPr>
          <w:rFonts w:ascii="DIN Next LT Pro" w:hAnsi="DIN Next LT Pro" w:cs="Arial"/>
          <w:sz w:val="21"/>
          <w:szCs w:val="21"/>
        </w:rPr>
        <w:t>Oireachtas</w:t>
      </w:r>
      <w:proofErr w:type="spellEnd"/>
      <w:r w:rsidRPr="00CE4775">
        <w:rPr>
          <w:rFonts w:ascii="DIN Next LT Pro" w:hAnsi="DIN Next LT Pro" w:cs="Arial"/>
          <w:sz w:val="21"/>
          <w:szCs w:val="21"/>
        </w:rPr>
        <w:t xml:space="preserve">  </w:t>
      </w:r>
    </w:p>
    <w:p w:rsidR="00767229" w:rsidRPr="00CE4775" w:rsidRDefault="00767229" w:rsidP="00767229">
      <w:pPr>
        <w:pStyle w:val="ListParagraph"/>
        <w:numPr>
          <w:ilvl w:val="0"/>
          <w:numId w:val="2"/>
        </w:numPr>
        <w:rPr>
          <w:rFonts w:ascii="DIN Next LT Pro" w:hAnsi="DIN Next LT Pro" w:cs="Arial"/>
          <w:sz w:val="21"/>
          <w:szCs w:val="21"/>
        </w:rPr>
      </w:pPr>
      <w:r w:rsidRPr="00CE4775">
        <w:rPr>
          <w:rFonts w:ascii="DIN Next LT Pro" w:hAnsi="DIN Next LT Pro" w:cs="Arial"/>
          <w:sz w:val="21"/>
          <w:szCs w:val="21"/>
        </w:rPr>
        <w:t xml:space="preserve">Requests from the Attorney General in relation to particular matters </w:t>
      </w:r>
    </w:p>
    <w:p w:rsidR="00767229" w:rsidRPr="00CE4775" w:rsidRDefault="00767229" w:rsidP="00767229">
      <w:pPr>
        <w:rPr>
          <w:rFonts w:ascii="DIN Next LT Pro" w:hAnsi="DIN Next LT Pro" w:cs="Arial"/>
          <w:sz w:val="21"/>
          <w:szCs w:val="21"/>
        </w:rPr>
      </w:pPr>
    </w:p>
    <w:p w:rsidR="00767229" w:rsidRPr="00392D57" w:rsidRDefault="00767229" w:rsidP="00767229">
      <w:pPr>
        <w:rPr>
          <w:rFonts w:ascii="DIN Next LT Pro" w:hAnsi="DIN Next LT Pro" w:cs="Arial"/>
          <w:b/>
          <w:sz w:val="21"/>
          <w:szCs w:val="21"/>
        </w:rPr>
      </w:pPr>
      <w:r w:rsidRPr="00CE4775">
        <w:rPr>
          <w:rFonts w:ascii="DIN Next LT Pro" w:hAnsi="DIN Next LT Pro" w:cs="Arial"/>
          <w:sz w:val="21"/>
          <w:szCs w:val="21"/>
        </w:rPr>
        <w:t xml:space="preserve">The Commission has </w:t>
      </w:r>
      <w:r>
        <w:rPr>
          <w:rFonts w:ascii="DIN Next LT Pro" w:hAnsi="DIN Next LT Pro" w:cs="Arial"/>
          <w:sz w:val="21"/>
          <w:szCs w:val="21"/>
        </w:rPr>
        <w:t xml:space="preserve">carried out its statutory mandate </w:t>
      </w:r>
      <w:proofErr w:type="gramStart"/>
      <w:r>
        <w:rPr>
          <w:rFonts w:ascii="DIN Next LT Pro" w:hAnsi="DIN Next LT Pro" w:cs="Arial"/>
          <w:sz w:val="21"/>
          <w:szCs w:val="21"/>
        </w:rPr>
        <w:t>under</w:t>
      </w:r>
      <w:proofErr w:type="gramEnd"/>
      <w:r>
        <w:rPr>
          <w:rFonts w:ascii="DIN Next LT Pro" w:hAnsi="DIN Next LT Pro" w:cs="Arial"/>
          <w:sz w:val="21"/>
          <w:szCs w:val="21"/>
        </w:rPr>
        <w:t xml:space="preserve"> four</w:t>
      </w:r>
      <w:r w:rsidRPr="00CE4775">
        <w:rPr>
          <w:rFonts w:ascii="DIN Next LT Pro" w:hAnsi="DIN Next LT Pro" w:cs="Arial"/>
          <w:i/>
          <w:sz w:val="21"/>
          <w:szCs w:val="21"/>
        </w:rPr>
        <w:t xml:space="preserve"> </w:t>
      </w:r>
      <w:r w:rsidRPr="00392D57">
        <w:rPr>
          <w:rFonts w:ascii="DIN Next LT Pro" w:hAnsi="DIN Next LT Pro" w:cs="Arial"/>
          <w:sz w:val="21"/>
          <w:szCs w:val="21"/>
        </w:rPr>
        <w:t xml:space="preserve">Programmes of Law Reform: Fourth Programme (2013); Third Programme (2008); Second Programme (2000); and First </w:t>
      </w:r>
      <w:proofErr w:type="spellStart"/>
      <w:r w:rsidRPr="00392D57">
        <w:rPr>
          <w:rFonts w:ascii="DIN Next LT Pro" w:hAnsi="DIN Next LT Pro" w:cs="Arial"/>
          <w:sz w:val="21"/>
          <w:szCs w:val="21"/>
        </w:rPr>
        <w:t>Progamme</w:t>
      </w:r>
      <w:proofErr w:type="spellEnd"/>
      <w:r w:rsidRPr="00392D57">
        <w:rPr>
          <w:rFonts w:ascii="DIN Next LT Pro" w:hAnsi="DIN Next LT Pro" w:cs="Arial"/>
          <w:sz w:val="21"/>
          <w:szCs w:val="21"/>
        </w:rPr>
        <w:t xml:space="preserve"> (1977).</w:t>
      </w:r>
    </w:p>
    <w:p w:rsidR="00767229" w:rsidRPr="00CE4775" w:rsidRDefault="00767229" w:rsidP="00767229">
      <w:pPr>
        <w:rPr>
          <w:rFonts w:ascii="DIN Next LT Pro" w:hAnsi="DIN Next LT Pro" w:cs="Arial"/>
          <w:sz w:val="21"/>
          <w:szCs w:val="21"/>
        </w:rPr>
      </w:pPr>
    </w:p>
    <w:p w:rsidR="00767229" w:rsidRPr="00CE4775" w:rsidRDefault="00767229" w:rsidP="00767229">
      <w:pPr>
        <w:rPr>
          <w:rFonts w:ascii="DIN Next LT Pro" w:hAnsi="DIN Next LT Pro" w:cs="Arial"/>
          <w:sz w:val="21"/>
          <w:szCs w:val="21"/>
        </w:rPr>
      </w:pPr>
      <w:r>
        <w:rPr>
          <w:rFonts w:ascii="DIN Next LT Pro" w:hAnsi="DIN Next LT Pro" w:cs="Arial"/>
          <w:sz w:val="21"/>
          <w:szCs w:val="21"/>
        </w:rPr>
        <w:t>The</w:t>
      </w:r>
      <w:r w:rsidRPr="00CE4775">
        <w:rPr>
          <w:rFonts w:ascii="DIN Next LT Pro" w:hAnsi="DIN Next LT Pro" w:cs="Arial"/>
          <w:sz w:val="21"/>
          <w:szCs w:val="21"/>
        </w:rPr>
        <w:t xml:space="preserve"> Commission's work also involve</w:t>
      </w:r>
      <w:r>
        <w:rPr>
          <w:rFonts w:ascii="DIN Next LT Pro" w:hAnsi="DIN Next LT Pro" w:cs="Arial"/>
          <w:sz w:val="21"/>
          <w:szCs w:val="21"/>
        </w:rPr>
        <w:t>s</w:t>
      </w:r>
      <w:r w:rsidRPr="00CE4775">
        <w:rPr>
          <w:rFonts w:ascii="DIN Next LT Pro" w:hAnsi="DIN Next LT Pro" w:cs="Arial"/>
          <w:sz w:val="21"/>
          <w:szCs w:val="21"/>
        </w:rPr>
        <w:t xml:space="preserve"> making legislation more accessible to the public. The Commission produces</w:t>
      </w:r>
      <w:r>
        <w:rPr>
          <w:rFonts w:ascii="DIN Next LT Pro" w:hAnsi="DIN Next LT Pro" w:cs="Arial"/>
          <w:sz w:val="21"/>
          <w:szCs w:val="21"/>
        </w:rPr>
        <w:t xml:space="preserve"> and maintains the following, all of which are available free online</w:t>
      </w:r>
      <w:r w:rsidRPr="00CE4775">
        <w:rPr>
          <w:rFonts w:ascii="DIN Next LT Pro" w:hAnsi="DIN Next LT Pro" w:cs="Arial"/>
          <w:sz w:val="21"/>
          <w:szCs w:val="21"/>
        </w:rPr>
        <w:t xml:space="preserve">: </w:t>
      </w:r>
    </w:p>
    <w:p w:rsidR="00767229" w:rsidRPr="00CE4775" w:rsidRDefault="00767229" w:rsidP="00767229">
      <w:pPr>
        <w:pStyle w:val="ListParagraph"/>
        <w:numPr>
          <w:ilvl w:val="0"/>
          <w:numId w:val="3"/>
        </w:numPr>
        <w:rPr>
          <w:rFonts w:ascii="DIN Next LT Pro" w:hAnsi="DIN Next LT Pro" w:cs="Arial"/>
          <w:sz w:val="21"/>
          <w:szCs w:val="21"/>
        </w:rPr>
      </w:pPr>
      <w:proofErr w:type="gramStart"/>
      <w:r w:rsidRPr="00CE4775">
        <w:rPr>
          <w:rFonts w:ascii="DIN Next LT Pro" w:hAnsi="DIN Next LT Pro" w:cs="Arial"/>
          <w:sz w:val="21"/>
          <w:szCs w:val="21"/>
        </w:rPr>
        <w:t>the</w:t>
      </w:r>
      <w:proofErr w:type="gramEnd"/>
      <w:r w:rsidRPr="00CE4775">
        <w:rPr>
          <w:rFonts w:ascii="DIN Next LT Pro" w:hAnsi="DIN Next LT Pro" w:cs="Arial"/>
          <w:sz w:val="21"/>
          <w:szCs w:val="21"/>
        </w:rPr>
        <w:t xml:space="preserve"> </w:t>
      </w:r>
      <w:r w:rsidRPr="00392D57">
        <w:rPr>
          <w:rFonts w:ascii="DIN Next LT Pro" w:hAnsi="DIN Next LT Pro" w:cs="Arial"/>
          <w:b/>
          <w:i/>
          <w:sz w:val="21"/>
          <w:szCs w:val="21"/>
          <w:lang w:val="en-GB"/>
        </w:rPr>
        <w:t>Legislation Directory</w:t>
      </w:r>
      <w:r w:rsidRPr="00CE4775">
        <w:rPr>
          <w:rFonts w:ascii="DIN Next LT Pro" w:hAnsi="DIN Next LT Pro" w:cs="Arial"/>
          <w:sz w:val="21"/>
          <w:szCs w:val="21"/>
          <w:lang w:val="en-GB"/>
        </w:rPr>
        <w:t xml:space="preserve">, </w:t>
      </w:r>
      <w:r w:rsidRPr="00CE4775">
        <w:rPr>
          <w:rFonts w:ascii="DIN Next LT Pro" w:hAnsi="DIN Next LT Pro" w:cs="Arial"/>
          <w:sz w:val="21"/>
          <w:szCs w:val="21"/>
        </w:rPr>
        <w:t xml:space="preserve">an online searchable guide to legislative changes </w:t>
      </w:r>
      <w:r>
        <w:rPr>
          <w:rFonts w:ascii="DIN Next LT Pro" w:hAnsi="DIN Next LT Pro" w:cs="Arial"/>
          <w:sz w:val="21"/>
          <w:szCs w:val="21"/>
        </w:rPr>
        <w:t xml:space="preserve">to all 3,000+ Acts of the </w:t>
      </w:r>
      <w:proofErr w:type="spellStart"/>
      <w:r>
        <w:rPr>
          <w:rFonts w:ascii="DIN Next LT Pro" w:hAnsi="DIN Next LT Pro" w:cs="Arial"/>
          <w:sz w:val="21"/>
          <w:szCs w:val="21"/>
        </w:rPr>
        <w:t>Oireachtas</w:t>
      </w:r>
      <w:proofErr w:type="spellEnd"/>
      <w:r>
        <w:rPr>
          <w:rFonts w:ascii="DIN Next LT Pro" w:hAnsi="DIN Next LT Pro" w:cs="Arial"/>
          <w:sz w:val="21"/>
          <w:szCs w:val="21"/>
        </w:rPr>
        <w:t xml:space="preserve">, and to the 1,364 pre-1922 Acts retained in force in 2007: it is </w:t>
      </w:r>
      <w:r w:rsidRPr="00CE4775">
        <w:rPr>
          <w:rFonts w:ascii="DIN Next LT Pro" w:hAnsi="DIN Next LT Pro" w:cs="Arial"/>
          <w:sz w:val="21"/>
          <w:szCs w:val="21"/>
        </w:rPr>
        <w:t>regularly updated</w:t>
      </w:r>
      <w:r>
        <w:rPr>
          <w:rFonts w:ascii="DIN Next LT Pro" w:hAnsi="DIN Next LT Pro" w:cs="Arial"/>
          <w:sz w:val="21"/>
          <w:szCs w:val="21"/>
        </w:rPr>
        <w:t>,</w:t>
      </w:r>
      <w:r w:rsidRPr="00CE4775">
        <w:rPr>
          <w:rFonts w:ascii="DIN Next LT Pro" w:hAnsi="DIN Next LT Pro" w:cs="Arial"/>
          <w:sz w:val="21"/>
          <w:szCs w:val="21"/>
        </w:rPr>
        <w:t xml:space="preserve"> and published on the </w:t>
      </w:r>
      <w:r>
        <w:rPr>
          <w:rFonts w:ascii="DIN Next LT Pro" w:hAnsi="DIN Next LT Pro" w:cs="Arial"/>
          <w:sz w:val="21"/>
          <w:szCs w:val="21"/>
        </w:rPr>
        <w:t xml:space="preserve">electronic </w:t>
      </w:r>
      <w:r w:rsidRPr="00CE4775">
        <w:rPr>
          <w:rFonts w:ascii="DIN Next LT Pro" w:hAnsi="DIN Next LT Pro" w:cs="Arial"/>
          <w:sz w:val="21"/>
          <w:szCs w:val="21"/>
        </w:rPr>
        <w:t>Irish Statute Book website</w:t>
      </w:r>
      <w:r>
        <w:rPr>
          <w:rFonts w:ascii="DIN Next LT Pro" w:hAnsi="DIN Next LT Pro" w:cs="Arial"/>
          <w:sz w:val="21"/>
          <w:szCs w:val="21"/>
        </w:rPr>
        <w:t xml:space="preserve">, </w:t>
      </w:r>
      <w:hyperlink r:id="rId6" w:history="1">
        <w:r w:rsidRPr="002C1973">
          <w:rPr>
            <w:rStyle w:val="Hyperlink"/>
            <w:rFonts w:ascii="DIN Next LT Pro" w:hAnsi="DIN Next LT Pro" w:cs="Arial"/>
            <w:sz w:val="21"/>
            <w:szCs w:val="21"/>
          </w:rPr>
          <w:t>www.irishstatutebook.ie</w:t>
        </w:r>
      </w:hyperlink>
      <w:r w:rsidRPr="00CE4775">
        <w:rPr>
          <w:rFonts w:ascii="DIN Next LT Pro" w:hAnsi="DIN Next LT Pro" w:cs="Arial"/>
          <w:sz w:val="21"/>
          <w:szCs w:val="21"/>
        </w:rPr>
        <w:t>.</w:t>
      </w:r>
      <w:r>
        <w:rPr>
          <w:rFonts w:ascii="DIN Next LT Pro" w:hAnsi="DIN Next LT Pro" w:cs="Arial"/>
          <w:sz w:val="21"/>
          <w:szCs w:val="21"/>
        </w:rPr>
        <w:t xml:space="preserve"> The Commission has also developed a separate</w:t>
      </w:r>
      <w:r w:rsidRPr="00CE4775">
        <w:rPr>
          <w:rFonts w:ascii="DIN Next LT Pro" w:hAnsi="DIN Next LT Pro" w:cs="Arial"/>
          <w:sz w:val="21"/>
          <w:szCs w:val="21"/>
        </w:rPr>
        <w:t xml:space="preserve"> </w:t>
      </w:r>
      <w:r>
        <w:rPr>
          <w:rFonts w:ascii="DIN Next LT Pro" w:hAnsi="DIN Next LT Pro" w:cs="Arial"/>
          <w:sz w:val="21"/>
          <w:szCs w:val="21"/>
        </w:rPr>
        <w:t xml:space="preserve">Legislation </w:t>
      </w:r>
      <w:r w:rsidRPr="00CE4775">
        <w:rPr>
          <w:rFonts w:ascii="DIN Next LT Pro" w:hAnsi="DIN Next LT Pro" w:cs="Arial"/>
          <w:sz w:val="21"/>
          <w:szCs w:val="21"/>
        </w:rPr>
        <w:t xml:space="preserve">Directory of Statutory Instruments </w:t>
      </w:r>
      <w:r>
        <w:rPr>
          <w:rFonts w:ascii="DIN Next LT Pro" w:hAnsi="DIN Next LT Pro" w:cs="Arial"/>
          <w:sz w:val="21"/>
          <w:szCs w:val="21"/>
        </w:rPr>
        <w:t xml:space="preserve">(those made </w:t>
      </w:r>
      <w:r w:rsidRPr="00CE4775">
        <w:rPr>
          <w:rFonts w:ascii="DIN Next LT Pro" w:hAnsi="DIN Next LT Pro" w:cs="Arial"/>
          <w:sz w:val="21"/>
          <w:szCs w:val="21"/>
        </w:rPr>
        <w:t xml:space="preserve">from </w:t>
      </w:r>
      <w:r>
        <w:rPr>
          <w:rFonts w:ascii="DIN Next LT Pro" w:hAnsi="DIN Next LT Pro" w:cs="Arial"/>
          <w:sz w:val="21"/>
          <w:szCs w:val="21"/>
        </w:rPr>
        <w:t xml:space="preserve">1999 onwards), also available at </w:t>
      </w:r>
      <w:hyperlink r:id="rId7" w:history="1">
        <w:r w:rsidRPr="00392D57">
          <w:rPr>
            <w:rStyle w:val="Hyperlink"/>
            <w:rFonts w:ascii="DIN Next LT Pro" w:hAnsi="DIN Next LT Pro" w:cs="Arial"/>
            <w:sz w:val="21"/>
            <w:szCs w:val="21"/>
          </w:rPr>
          <w:t>www.irishstatutebook.ie</w:t>
        </w:r>
      </w:hyperlink>
      <w:r w:rsidRPr="00392D57">
        <w:rPr>
          <w:rFonts w:ascii="DIN Next LT Pro" w:hAnsi="DIN Next LT Pro" w:cs="Arial"/>
          <w:sz w:val="21"/>
          <w:szCs w:val="21"/>
        </w:rPr>
        <w:t xml:space="preserve">. </w:t>
      </w:r>
    </w:p>
    <w:p w:rsidR="00767229" w:rsidRPr="00CE4775" w:rsidRDefault="00767229" w:rsidP="00767229">
      <w:pPr>
        <w:pStyle w:val="ListParagraph"/>
        <w:numPr>
          <w:ilvl w:val="0"/>
          <w:numId w:val="3"/>
        </w:numPr>
        <w:rPr>
          <w:rFonts w:ascii="DIN Next LT Pro" w:hAnsi="DIN Next LT Pro" w:cs="Arial"/>
          <w:sz w:val="21"/>
          <w:szCs w:val="21"/>
        </w:rPr>
      </w:pPr>
      <w:r w:rsidRPr="00392D57">
        <w:rPr>
          <w:rFonts w:ascii="DIN Next LT Pro" w:hAnsi="DIN Next LT Pro" w:cs="Arial"/>
          <w:b/>
          <w:i/>
          <w:sz w:val="21"/>
          <w:szCs w:val="21"/>
          <w:lang w:val="en-GB"/>
        </w:rPr>
        <w:t>Revised Acts</w:t>
      </w:r>
      <w:r w:rsidRPr="00CE4775">
        <w:rPr>
          <w:rFonts w:ascii="DIN Next LT Pro" w:hAnsi="DIN Next LT Pro" w:cs="Arial"/>
          <w:sz w:val="21"/>
          <w:szCs w:val="21"/>
          <w:lang w:val="en-GB"/>
        </w:rPr>
        <w:t xml:space="preserve">: </w:t>
      </w:r>
      <w:r w:rsidRPr="00CE4775">
        <w:rPr>
          <w:rFonts w:ascii="DIN Next LT Pro" w:hAnsi="DIN Next LT Pro" w:cs="Arial"/>
          <w:sz w:val="21"/>
          <w:szCs w:val="21"/>
        </w:rPr>
        <w:t>2</w:t>
      </w:r>
      <w:r>
        <w:rPr>
          <w:rFonts w:ascii="DIN Next LT Pro" w:hAnsi="DIN Next LT Pro" w:cs="Arial"/>
          <w:sz w:val="21"/>
          <w:szCs w:val="21"/>
        </w:rPr>
        <w:t>7</w:t>
      </w:r>
      <w:r w:rsidRPr="00CE4775">
        <w:rPr>
          <w:rFonts w:ascii="DIN Next LT Pro" w:hAnsi="DIN Next LT Pro" w:cs="Arial"/>
          <w:sz w:val="21"/>
          <w:szCs w:val="21"/>
        </w:rPr>
        <w:t xml:space="preserve">0 Revised Acts </w:t>
      </w:r>
      <w:r>
        <w:rPr>
          <w:rFonts w:ascii="DIN Next LT Pro" w:hAnsi="DIN Next LT Pro" w:cs="Arial"/>
          <w:sz w:val="21"/>
          <w:szCs w:val="21"/>
        </w:rPr>
        <w:t>(Acts as amended, rather than as enacted), which includes over 100 pre-2006 much-used Acts, and all</w:t>
      </w:r>
      <w:r w:rsidRPr="00CE4775">
        <w:rPr>
          <w:rFonts w:ascii="DIN Next LT Pro" w:hAnsi="DIN Next LT Pro" w:cs="Arial"/>
          <w:sz w:val="21"/>
          <w:szCs w:val="21"/>
        </w:rPr>
        <w:t xml:space="preserve"> textually amended Acts from 2006 onwards</w:t>
      </w:r>
      <w:r>
        <w:rPr>
          <w:rFonts w:ascii="DIN Next LT Pro" w:hAnsi="DIN Next LT Pro" w:cs="Arial"/>
          <w:sz w:val="21"/>
          <w:szCs w:val="21"/>
        </w:rPr>
        <w:t xml:space="preserve"> (</w:t>
      </w:r>
      <w:r w:rsidRPr="00CE4775">
        <w:rPr>
          <w:rFonts w:ascii="DIN Next LT Pro" w:hAnsi="DIN Next LT Pro" w:cs="Arial"/>
          <w:sz w:val="21"/>
          <w:szCs w:val="21"/>
        </w:rPr>
        <w:t>other than Finance and Social Welfare Acts</w:t>
      </w:r>
      <w:r>
        <w:rPr>
          <w:rFonts w:ascii="DIN Next LT Pro" w:hAnsi="DIN Next LT Pro" w:cs="Arial"/>
          <w:sz w:val="21"/>
          <w:szCs w:val="21"/>
        </w:rPr>
        <w:t>)</w:t>
      </w:r>
      <w:r w:rsidRPr="00CE4775">
        <w:rPr>
          <w:rFonts w:ascii="DIN Next LT Pro" w:hAnsi="DIN Next LT Pro" w:cs="Arial"/>
          <w:sz w:val="21"/>
          <w:szCs w:val="21"/>
        </w:rPr>
        <w:t xml:space="preserve">, </w:t>
      </w:r>
      <w:r>
        <w:rPr>
          <w:rFonts w:ascii="DIN Next LT Pro" w:hAnsi="DIN Next LT Pro" w:cs="Arial"/>
          <w:sz w:val="21"/>
          <w:szCs w:val="21"/>
        </w:rPr>
        <w:t xml:space="preserve">available on the Commission’s website, </w:t>
      </w:r>
      <w:hyperlink r:id="rId8" w:history="1">
        <w:r w:rsidRPr="002C1973">
          <w:rPr>
            <w:rStyle w:val="Hyperlink"/>
            <w:rFonts w:ascii="DIN Next LT Pro" w:hAnsi="DIN Next LT Pro" w:cs="Arial"/>
            <w:sz w:val="21"/>
            <w:szCs w:val="21"/>
          </w:rPr>
          <w:t>www.lawreform.ie</w:t>
        </w:r>
      </w:hyperlink>
      <w:r w:rsidRPr="00CE4775">
        <w:rPr>
          <w:rFonts w:ascii="DIN Next LT Pro" w:hAnsi="DIN Next LT Pro" w:cs="Arial"/>
          <w:sz w:val="21"/>
          <w:szCs w:val="21"/>
        </w:rPr>
        <w:t>.</w:t>
      </w:r>
    </w:p>
    <w:p w:rsidR="00767229" w:rsidRPr="00CE4775" w:rsidRDefault="00767229" w:rsidP="00767229">
      <w:pPr>
        <w:pStyle w:val="ListParagraph"/>
        <w:numPr>
          <w:ilvl w:val="0"/>
          <w:numId w:val="3"/>
        </w:numPr>
        <w:rPr>
          <w:rFonts w:ascii="DIN Next LT Pro" w:hAnsi="DIN Next LT Pro" w:cs="Arial"/>
          <w:sz w:val="21"/>
          <w:szCs w:val="21"/>
        </w:rPr>
      </w:pPr>
      <w:r w:rsidRPr="00CE4775">
        <w:rPr>
          <w:rFonts w:ascii="DIN Next LT Pro" w:hAnsi="DIN Next LT Pro" w:cs="Arial"/>
          <w:sz w:val="21"/>
          <w:szCs w:val="21"/>
          <w:lang w:val="en-GB"/>
        </w:rPr>
        <w:t xml:space="preserve">the </w:t>
      </w:r>
      <w:r w:rsidRPr="008036C0">
        <w:rPr>
          <w:rFonts w:ascii="DIN Next LT Pro" w:hAnsi="DIN Next LT Pro" w:cs="Arial"/>
          <w:b/>
          <w:i/>
          <w:sz w:val="21"/>
          <w:szCs w:val="21"/>
          <w:lang w:val="en-GB"/>
        </w:rPr>
        <w:t>Classified List of In-Force Acts in Ireland</w:t>
      </w:r>
      <w:r>
        <w:rPr>
          <w:rFonts w:ascii="DIN Next LT Pro" w:hAnsi="DIN Next LT Pro" w:cs="Arial"/>
          <w:sz w:val="21"/>
          <w:szCs w:val="21"/>
          <w:lang w:val="en-GB"/>
        </w:rPr>
        <w:t xml:space="preserve">, a list of all Acts of the </w:t>
      </w:r>
      <w:proofErr w:type="spellStart"/>
      <w:r>
        <w:rPr>
          <w:rFonts w:ascii="DIN Next LT Pro" w:hAnsi="DIN Next LT Pro" w:cs="Arial"/>
          <w:sz w:val="21"/>
          <w:szCs w:val="21"/>
          <w:lang w:val="en-GB"/>
        </w:rPr>
        <w:t>Oireachtas</w:t>
      </w:r>
      <w:proofErr w:type="spellEnd"/>
      <w:r>
        <w:rPr>
          <w:rFonts w:ascii="DIN Next LT Pro" w:hAnsi="DIN Next LT Pro" w:cs="Arial"/>
          <w:sz w:val="21"/>
          <w:szCs w:val="21"/>
          <w:lang w:val="en-GB"/>
        </w:rPr>
        <w:t xml:space="preserve"> that remain in force (2,000+) and over 100 pe-1922 Acts, organised under 36 subject headings (such as Commercial Law, Criminal Law, Employment Law, Environment, Family Law, Land Law, Taxation). This is updated regularly and is also </w:t>
      </w:r>
      <w:r w:rsidRPr="008036C0">
        <w:rPr>
          <w:rFonts w:ascii="DIN Next LT Pro" w:hAnsi="DIN Next LT Pro" w:cs="Arial"/>
          <w:sz w:val="21"/>
          <w:szCs w:val="21"/>
        </w:rPr>
        <w:t xml:space="preserve">available on the Commission’s website, </w:t>
      </w:r>
      <w:hyperlink r:id="rId9" w:history="1">
        <w:r w:rsidRPr="008036C0">
          <w:rPr>
            <w:rStyle w:val="Hyperlink"/>
            <w:rFonts w:ascii="DIN Next LT Pro" w:hAnsi="DIN Next LT Pro" w:cs="Arial"/>
            <w:sz w:val="21"/>
            <w:szCs w:val="21"/>
          </w:rPr>
          <w:t>www.lawreform.ie</w:t>
        </w:r>
      </w:hyperlink>
      <w:r w:rsidRPr="008036C0">
        <w:rPr>
          <w:rFonts w:ascii="DIN Next LT Pro" w:hAnsi="DIN Next LT Pro" w:cs="Arial"/>
          <w:sz w:val="21"/>
          <w:szCs w:val="21"/>
        </w:rPr>
        <w:t>.</w:t>
      </w:r>
      <w:r>
        <w:rPr>
          <w:rFonts w:ascii="DIN Next LT Pro" w:hAnsi="DIN Next LT Pro" w:cs="Arial"/>
          <w:sz w:val="21"/>
          <w:szCs w:val="21"/>
          <w:lang w:val="en-GB"/>
        </w:rPr>
        <w:t xml:space="preserve"> A draft Classified List of In-Force Statutory Instruments will be published in 2016</w:t>
      </w:r>
      <w:r w:rsidRPr="00CE4775">
        <w:rPr>
          <w:rFonts w:ascii="DIN Next LT Pro" w:hAnsi="DIN Next LT Pro" w:cs="Arial"/>
          <w:sz w:val="21"/>
          <w:szCs w:val="21"/>
        </w:rPr>
        <w:t>.</w:t>
      </w:r>
    </w:p>
    <w:p w:rsidR="00767229" w:rsidRDefault="00767229" w:rsidP="00767229"/>
    <w:p w:rsidR="00F94BDD" w:rsidRDefault="00D631CD"/>
    <w:sectPr w:rsidR="00F94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CE-Light">
    <w:altName w:val="Times New Roman"/>
    <w:charset w:val="EE"/>
    <w:family w:val="auto"/>
    <w:pitch w:val="variable"/>
    <w:sig w:usb0="00000005" w:usb1="0000204A" w:usb2="00000000" w:usb3="00000000" w:csb0="00000002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03"/>
    <w:multiLevelType w:val="hybridMultilevel"/>
    <w:tmpl w:val="1ECAB0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C5898"/>
    <w:multiLevelType w:val="hybridMultilevel"/>
    <w:tmpl w:val="1A1E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11345"/>
    <w:multiLevelType w:val="hybridMultilevel"/>
    <w:tmpl w:val="F7088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29"/>
    <w:rsid w:val="000975BF"/>
    <w:rsid w:val="00767229"/>
    <w:rsid w:val="00D631CD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29"/>
    <w:pPr>
      <w:spacing w:after="0" w:line="240" w:lineRule="auto"/>
      <w:jc w:val="both"/>
    </w:pPr>
    <w:rPr>
      <w:rFonts w:ascii="DINCE-Light" w:eastAsia="Times New Roman" w:hAnsi="DINCE-Light" w:cs="Times New Roman"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29"/>
    <w:pPr>
      <w:spacing w:after="0" w:line="240" w:lineRule="auto"/>
      <w:jc w:val="both"/>
    </w:pPr>
    <w:rPr>
      <w:rFonts w:ascii="DINCE-Light" w:eastAsia="Times New Roman" w:hAnsi="DINCE-Light" w:cs="Times New Roman"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form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ishsttautebook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shstatutebook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wrefor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rbyrne</dc:creator>
  <cp:lastModifiedBy>dfleming</cp:lastModifiedBy>
  <cp:revision>2</cp:revision>
  <dcterms:created xsi:type="dcterms:W3CDTF">2016-05-11T12:03:00Z</dcterms:created>
  <dcterms:modified xsi:type="dcterms:W3CDTF">2016-05-11T12:03:00Z</dcterms:modified>
</cp:coreProperties>
</file>